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许昌市第六中学学生服务中心电梯</w:t>
      </w:r>
    </w:p>
    <w:p>
      <w:pPr>
        <w:spacing w:line="560" w:lineRule="exact"/>
        <w:jc w:val="center"/>
        <w:rPr>
          <w:rFonts w:ascii="宋体" w:hAnsi="宋体" w:eastAsia="宋体" w:cs="宋体"/>
          <w:sz w:val="44"/>
          <w:szCs w:val="44"/>
        </w:rPr>
      </w:pPr>
      <w:r>
        <w:rPr>
          <w:rFonts w:hint="eastAsia" w:ascii="宋体" w:hAnsi="宋体" w:eastAsia="宋体" w:cs="宋体"/>
          <w:b/>
          <w:bCs/>
          <w:sz w:val="44"/>
          <w:szCs w:val="44"/>
        </w:rPr>
        <w:t>采购需求、评标标准等说明</w:t>
      </w:r>
    </w:p>
    <w:p>
      <w:pPr>
        <w:spacing w:line="560" w:lineRule="exact"/>
        <w:rPr>
          <w:rFonts w:ascii="宋体" w:hAnsi="宋体" w:eastAsia="宋体" w:cs="宋体"/>
          <w:sz w:val="30"/>
          <w:szCs w:val="30"/>
        </w:rPr>
      </w:pPr>
      <w:r>
        <w:rPr>
          <w:rFonts w:hint="eastAsia" w:ascii="宋体" w:hAnsi="宋体" w:eastAsia="宋体" w:cs="宋体"/>
          <w:sz w:val="30"/>
          <w:szCs w:val="30"/>
        </w:rPr>
        <w:t> </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一、项目概况</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（一）项目名称：许昌市第六中学学生服务中心电梯采购安装</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（二）采购方式：竞争性谈判     </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（三）主要内容、数量及要求：客货两用电梯和落地式餐梯各一台</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（四）预算金额：23万元 ；最高限价：23万元</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（五）交付（服务、施工）时间：合同签订后30日内交付使用。</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（六）交付（服务、施工）地点：许昌市第六中学校内</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（七）进口产品：不允许。</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（八）分包：不允许</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二、需要落实的政府采购政策</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本项目落实节能环保√、中小微型企业扶持√、支持监狱企业发展√、残疾人福利性单位扶持√等相关政府采购政策。</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三、投标人资格要求</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（一）具备《政府采购法》第二十二条第一款规定条件并提供相关材料。</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（二）本次招标不接受联合体投标。</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（三）根据采购项目特殊要求，规定投标人的特定条件：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所投电梯制造商须具有特种设备制造许可证。曳引机式乘客电梯制造级别为A级（限定速度不小于7m/s）；杂物电梯制造级别为C级或C级以上（电梯与餐梯需同一品牌）。所投电梯制造商或代理商需具备特种设备安装改造维修许可证，安装维修改造级别为A级。</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四、采购需求</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（一）本项目需实现的功能或者目标</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用于学生服务中心行动能力受限的人员使用，并具备货物搬运和食品运输的功能。</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（二）采购清单</w:t>
      </w:r>
    </w:p>
    <w:tbl>
      <w:tblPr>
        <w:tblStyle w:val="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3"/>
        <w:gridCol w:w="1504"/>
        <w:gridCol w:w="4509"/>
        <w:gridCol w:w="90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序号</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货物名称</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技术规格及主要参数</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单位</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1</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客货两用电梯</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载重1000公斤，速度1.0m/s，3层3站无机房电梯</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台 </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5"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2</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落地式餐梯</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载重200公斤，速度0.4m/s，3层3站落地式餐梯</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 台</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 1</w:t>
            </w:r>
          </w:p>
        </w:tc>
      </w:tr>
    </w:tbl>
    <w:p>
      <w:pPr>
        <w:spacing w:line="560" w:lineRule="exact"/>
        <w:rPr>
          <w:rFonts w:ascii="宋体" w:hAnsi="宋体" w:eastAsia="宋体" w:cs="宋体"/>
          <w:sz w:val="30"/>
          <w:szCs w:val="30"/>
        </w:rPr>
      </w:pPr>
      <w:r>
        <w:rPr>
          <w:rFonts w:hint="eastAsia" w:ascii="宋体" w:hAnsi="宋体" w:eastAsia="宋体" w:cs="宋体"/>
          <w:sz w:val="30"/>
          <w:szCs w:val="30"/>
        </w:rPr>
        <w:t>（生产、安装、验收并交付使用周期为签订合同之日起30日内）</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1、客货两用梯主要技术要求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 所有部件必须为 2018 年全新产品。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 供电电源：动力电源，交流 380V，50HZ，三相；照明电源，交流 220V，50HZ，单相。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 额定功率：投标人报出每台电梯的具体指标值。</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1.4 噪音水平：运行中最大噪声值≦65 分贝。</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1.5 曳引机：提供高效节能和具有良好动力特性的先进曳引机，采用永磁同步无齿轮技术。</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1.6 电梯机房：按相关规范标准布置。</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1.7 轿厢：在所提供井道尺寸基础上，要求提供最大尺寸标准轿厢，轿体要求制作精良，连接紧固，抗变形能力强，符合相关安全标准；轿厢全部为发纹不锈钢，厚度不低于 1.2mm.</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1.8 门机系统：采用永磁同步门机，门保护装置采用光幕保护。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1.9 轿门：提供中分式自动门，要求开关门时间可调，灵活自如，安静快捷。</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1.10 轿底：PVC 耐磨地板。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1.11 光幕门保护装置：该装置有足够光束数交叉形成保护光幕，光幕上下端满至门顶和门底。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1.12 层门门套：首层门套为发纹不锈钢，其他楼层门套为烤漆钢板。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1.13 层门：首层门为发纹不锈钢，其他楼层门为烤漆钢板。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1.14 外呼梯按纽盒：标配，要求美观大方，结实耐用。采用楼层显示、按钮一体型外呼梯按钮盒。显示器数字清晰，能够显示层数和电梯运行方向。</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1.15 导轨（轿厢导轨、对重导轨）：T 形耐磨导轨，抗变形能力强。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1.16 对重装置：对重架要求制作精细，抗变形能力强，符合相关安全标准。要求采用滑动式导靴，对重铁不得采用工业废料，符合环保要求。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1.17 补偿装置：采用带胶套的无声补偿链。</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1.18 钢丝绳：采用电梯专用钢丝绳。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1.19 随行电缆：要求采用电梯专用电缆，防火性能与大楼的耐火等级相匹配（大楼耐火等级一级）。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1.20 井道内固定件：要求其零部件结构合理，牢固耐用，抗锈蚀能力强。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1.21 井道照明：要求每部电梯每层安装一组井道照明装置。最高最低照明装置距井道上端为 0.5 米，下端 1.5 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1.22 缓冲器：要求采用聚氨酯缓冲器。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1.23 限速器：要求采用双向离心式限速器。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1.24 安全钳：要求采用渐进式安全钳。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1.25 门锁装置：采用电梯专用门锁，基站锁设在 1 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1.26 上行超速保护装置按照国家标准生产。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1.27 机房通风设施由投标人根据设备要求提供。</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1.28 投标人自行勘察现场，并承担相应后果及费用。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1.29 主要功能要求（不限于以下要求，但不能少于以下功能）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（1）全集选控制        （2）超载提示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（3）端站校验          （4）开门时间设定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（5）满载提示          （6）优先放人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（7）服务层设置        （8）满载直驶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（9）分时服务          （10）运行方向与楼层显示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（11）电子称量         （12）防捣乱</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（13）关门按钮提前关门 （14）非开门区保护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（15）指令外召登记与记忆显示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（16）光幕保护         （17）对讲机（报警系统）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（18）故障数据记录     （19）本层反向外呼登记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（20）门锁保护         （21）本层指令按钮开门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（22）门锁异常自动开门 （23）轿厢调试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（24）换站停靠         （25）井道自学习</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（26）加速段 截梯响应  （27）检修运行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（28）警铃报警         （29） 电机参数调谐</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（30）司机操作运行     （31）楼层位置智能校正</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（32）低速自救         （33）火灾应急运行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（34）按钮粘连诊断     （35）消防员运行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（36）启动转矩自动补偿 （37）程序运行保</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（38）直接停靠         （39）消防反馈</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（40）最佳曲线自动生成 （41）火灾应急运行指示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（42）运行次数记录     （43）锁梯</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（44）运行时间记录     （45）自动返基站</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（46）轿内应急照明     （47）掉电数据保持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1.30 乘客电梯曳引机、门机、控制柜、安全部件（限速器、安全钳）需为电梯整梯同品牌且承诺为所投品牌厂家自行生产，以承诺函为准。</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2、次要功能技术指标</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2.1 要求连续工作每天 24 小时，全年 365 天，正常使用寿命期要求 10 万小时以上。</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2.2 电梯轿厢内装饰：</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（1）轿厢装饰顶（天花板）：内嵌式 LED 灯照明</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（2）轿壁：发纹不锈钢。</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（3）轿厢内控制操纵盘：造型流畅、反映迅捷，面板采用发纹不锈钢，装设在轿门一侧。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（4）轿厢门：灵活自如、安静快捷，采用发纹不锈钢板。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（5）轿底：美观、耐用，采用耐磨塑胶地板或树脂地板，由厂家提供图样，花样客户自选。</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2.3 电梯层站处装饰</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（1）层门门套：首层门套为发纹不锈钢小门套，其他楼层门套为烤漆钢板小门套。</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（2）层门：首层门为发纹不锈钢，其他楼层门为烤漆钢板。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（3）外呼梯按钮盒：美观大方、数字清晰，面板采用发纹不锈钢。</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（4）基站锁：装设在每台电梯的 1 层，合并到外呼梯按钮盒上。</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2.4 消防控制：消防开关设在 1 层门边有打碎玻璃按钮和钥匙开关，供消防人员紧急救火时使用，钥匙开关具有优先权。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2.5 驱动控制方式：变频节能控制。关键部件采用进口元器件。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2.6 为确保电梯安全运行和应急服务的及时性，需提供物联网远程监控系统或类似应急系统。</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以上参数中，有与国家强制性标准有冲突的或低于国家强制性标准的，以国家强制性标准为准。</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3、杂物梯要求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 电梯运行所到楼层由数码显示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3.2 开关门的状态显示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3.3 到站提升音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3.4 电梯锁功能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3.5 运行方向和呼梯应答提示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3.6 超载保护、接触器黏连保护、电流过载保护、上下限位保护、断错相保护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3.7 急停功能，急停回路检测功能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3.8 故障自检功能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3.9 检修运行功能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3.10 整梯需通过特种设备管理部门验收并取得使用许可证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3.11 投标餐梯与客货电梯为同品牌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（三）采购标的执行标准，要求执行以下但不限于以下所列规范、标准、文件的最新版本：</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GB7588-2003 《电梯制造与安装安全规范》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GB/T10058-1997《电梯技术条件》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GB/T10059-1997《电梯试验方法》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GB/T10060-93 《电梯安装验收规范》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GB50182-93 《电梯装置安装工程电梯电气装置施工验收规范》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GB7025-1997 《电梯主要参数及轿厢、井道、机房的型式与尺寸》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GB8903-1998 《电梯用钢丝绳》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GB50310-2002《电梯工程施工质量验收规范》</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（四）服务标准、期限、效率等要求</w:t>
      </w:r>
    </w:p>
    <w:p>
      <w:pPr>
        <w:spacing w:line="560" w:lineRule="exact"/>
        <w:ind w:firstLine="900" w:firstLineChars="300"/>
        <w:rPr>
          <w:rFonts w:ascii="宋体" w:hAnsi="宋体" w:eastAsia="宋体" w:cs="宋体"/>
          <w:sz w:val="30"/>
          <w:szCs w:val="30"/>
        </w:rPr>
      </w:pPr>
      <w:r>
        <w:rPr>
          <w:rFonts w:hint="eastAsia" w:ascii="宋体" w:hAnsi="宋体" w:eastAsia="宋体" w:cs="宋体"/>
          <w:sz w:val="30"/>
          <w:szCs w:val="30"/>
        </w:rPr>
        <w:t>服务标准按照特种设备服务管理标准执行，服务期限不少于12个月。</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（五）验收标准</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1、乘客电梯曳引机、门机、控制柜、安全部件（限速器、安全钳）需为电梯整梯同品牌且为所投品牌厂家自行生产,签订合同时需提供型式试验报告原件。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在电梯安装完毕并取得特种设备检验部门颁发的使用许可证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1"/>
        </w:num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按照国家相关标准、行业标准、地方标准或者其他标准、规范验收；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GB7588-2003 《电梯制造与安装安全规范》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GB/T10058-1997《电梯技术条件》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GB/T10059-1997《电梯试验方法》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GB/T10060-93 《电梯安装验收规范》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GB50182-93 《电梯装置安装工程电梯电气装置施工验收规范》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GB7025-1997 《电梯主要参数及轿厢、井道、机房的型式与尺寸》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GB8903-1998 《电梯用钢丝绳》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GB50310-2002《电梯工程施工质量验收规范》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2、按照招标文件要求、投标文件响应和承诺验收；</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（六）采购标的的其他技术、服务等要求（根据项目具体情况填写）</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制定完整且详细的施工组织方案，确保安装质量的技术组织措施的合理性与完整性，确保安全生产、文明施工的技术组织措施的合理性与完整性；制定详细的售后服务方案。</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五、评标方法和评标标准</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评标方法：最低评标价法</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六、采购资金支付</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（一）支付方式：银行转账</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（二）支付时间及条件：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签订合同后预付合同总价10%；到货后支付合同总价的20%；安装完毕且通过质检部门验收合格并取得使用许可证后支付合同总价65%；合同总价5%作为质保金，待电梯使用满一年无质量问题后无息退还。</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七、联系方式</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联系人：史向阳       联系电话：15290926950</w:t>
      </w:r>
    </w:p>
    <w:p>
      <w:pPr>
        <w:spacing w:line="56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bookmarkStart w:id="0" w:name="_GoBack"/>
      <w:bookmarkEnd w:id="0"/>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13949815002</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单位地址：许昌市新兴路138号</w:t>
      </w:r>
    </w:p>
    <w:p>
      <w:pPr>
        <w:spacing w:line="560" w:lineRule="exact"/>
        <w:rPr>
          <w:rFonts w:ascii="宋体" w:hAnsi="宋体" w:eastAsia="宋体" w:cs="宋体"/>
          <w:sz w:val="30"/>
          <w:szCs w:val="30"/>
        </w:rPr>
      </w:pPr>
      <w:r>
        <w:rPr>
          <w:rFonts w:hint="eastAsia" w:ascii="宋体" w:hAnsi="宋体" w:eastAsia="宋体" w:cs="宋体"/>
          <w:sz w:val="30"/>
          <w:szCs w:val="30"/>
        </w:rPr>
        <w:t> </w:t>
      </w:r>
    </w:p>
    <w:p>
      <w:pPr>
        <w:spacing w:line="560" w:lineRule="exact"/>
        <w:jc w:val="right"/>
        <w:rPr>
          <w:rFonts w:ascii="宋体" w:hAnsi="宋体" w:eastAsia="宋体" w:cs="宋体"/>
          <w:sz w:val="30"/>
          <w:szCs w:val="30"/>
        </w:rPr>
      </w:pPr>
      <w:r>
        <w:rPr>
          <w:rFonts w:hint="eastAsia" w:ascii="宋体" w:hAnsi="宋体" w:eastAsia="宋体" w:cs="宋体"/>
          <w:sz w:val="30"/>
          <w:szCs w:val="30"/>
        </w:rPr>
        <w:t>  单位全称：许昌市第六中学</w:t>
      </w:r>
    </w:p>
    <w:p>
      <w:pPr>
        <w:spacing w:line="560" w:lineRule="exact"/>
        <w:ind w:firstLine="5100" w:firstLineChars="1700"/>
        <w:jc w:val="right"/>
        <w:rPr>
          <w:rFonts w:ascii="宋体" w:hAnsi="宋体" w:eastAsia="宋体" w:cs="宋体"/>
          <w:sz w:val="30"/>
          <w:szCs w:val="30"/>
        </w:rPr>
      </w:pPr>
      <w:r>
        <w:rPr>
          <w:rFonts w:hint="eastAsia" w:ascii="宋体" w:hAnsi="宋体" w:eastAsia="宋体" w:cs="宋体"/>
          <w:sz w:val="30"/>
          <w:szCs w:val="30"/>
        </w:rPr>
        <w:t>2018年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22</w:t>
      </w:r>
      <w:r>
        <w:rPr>
          <w:rFonts w:hint="eastAsia" w:ascii="宋体" w:hAnsi="宋体" w:eastAsia="宋体" w:cs="宋体"/>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8C4D"/>
    <w:multiLevelType w:val="singleLevel"/>
    <w:tmpl w:val="1F968C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4BC5"/>
    <w:rsid w:val="00013361"/>
    <w:rsid w:val="002F27F2"/>
    <w:rsid w:val="003D2E30"/>
    <w:rsid w:val="004836D7"/>
    <w:rsid w:val="004946FE"/>
    <w:rsid w:val="004E51EB"/>
    <w:rsid w:val="00526D24"/>
    <w:rsid w:val="00674BC5"/>
    <w:rsid w:val="0075722C"/>
    <w:rsid w:val="0083074B"/>
    <w:rsid w:val="00844D1E"/>
    <w:rsid w:val="008B51EA"/>
    <w:rsid w:val="008E78B4"/>
    <w:rsid w:val="009601D4"/>
    <w:rsid w:val="009F3057"/>
    <w:rsid w:val="00AF34A7"/>
    <w:rsid w:val="00B55836"/>
    <w:rsid w:val="00C46C6E"/>
    <w:rsid w:val="00CF20D6"/>
    <w:rsid w:val="00E24F41"/>
    <w:rsid w:val="00E558BE"/>
    <w:rsid w:val="027B5FC0"/>
    <w:rsid w:val="035C327B"/>
    <w:rsid w:val="056623B2"/>
    <w:rsid w:val="05872CE5"/>
    <w:rsid w:val="09551AA8"/>
    <w:rsid w:val="0A9F59B4"/>
    <w:rsid w:val="0C317658"/>
    <w:rsid w:val="0EF83AAD"/>
    <w:rsid w:val="120A28AB"/>
    <w:rsid w:val="12D16C35"/>
    <w:rsid w:val="167F54E3"/>
    <w:rsid w:val="1A847C0A"/>
    <w:rsid w:val="264F367F"/>
    <w:rsid w:val="299B617D"/>
    <w:rsid w:val="2B5C703B"/>
    <w:rsid w:val="2BC92DEF"/>
    <w:rsid w:val="2C7954E6"/>
    <w:rsid w:val="32022BEE"/>
    <w:rsid w:val="32EB203A"/>
    <w:rsid w:val="3ECC742C"/>
    <w:rsid w:val="3F3244DA"/>
    <w:rsid w:val="43126CBD"/>
    <w:rsid w:val="4508246D"/>
    <w:rsid w:val="45884035"/>
    <w:rsid w:val="47A42772"/>
    <w:rsid w:val="4A0111E5"/>
    <w:rsid w:val="4A643CE2"/>
    <w:rsid w:val="4A6D0E34"/>
    <w:rsid w:val="4D555D35"/>
    <w:rsid w:val="50D75E70"/>
    <w:rsid w:val="51BD785D"/>
    <w:rsid w:val="53730E21"/>
    <w:rsid w:val="55275432"/>
    <w:rsid w:val="567861D8"/>
    <w:rsid w:val="56A412A9"/>
    <w:rsid w:val="570B3FB1"/>
    <w:rsid w:val="5D9978AD"/>
    <w:rsid w:val="5E5B3494"/>
    <w:rsid w:val="5F970030"/>
    <w:rsid w:val="604E73AC"/>
    <w:rsid w:val="62456BE6"/>
    <w:rsid w:val="63073A75"/>
    <w:rsid w:val="668954A4"/>
    <w:rsid w:val="668E47C6"/>
    <w:rsid w:val="66A861F2"/>
    <w:rsid w:val="67C25843"/>
    <w:rsid w:val="67D15FB1"/>
    <w:rsid w:val="6B363475"/>
    <w:rsid w:val="6C7D2995"/>
    <w:rsid w:val="6E544CEB"/>
    <w:rsid w:val="6F07659B"/>
    <w:rsid w:val="731B3035"/>
    <w:rsid w:val="732360DC"/>
    <w:rsid w:val="74B26F51"/>
    <w:rsid w:val="74E91E50"/>
    <w:rsid w:val="783E7C8B"/>
    <w:rsid w:val="78643910"/>
    <w:rsid w:val="78CA005C"/>
    <w:rsid w:val="7C1020ED"/>
    <w:rsid w:val="7CA6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red"/>
    <w:basedOn w:val="5"/>
    <w:qFormat/>
    <w:uiPriority w:val="0"/>
    <w:rPr>
      <w:color w:val="FF0000"/>
      <w:sz w:val="18"/>
      <w:szCs w:val="18"/>
    </w:rPr>
  </w:style>
  <w:style w:type="character" w:customStyle="1" w:styleId="11">
    <w:name w:val="red1"/>
    <w:basedOn w:val="5"/>
    <w:qFormat/>
    <w:uiPriority w:val="0"/>
    <w:rPr>
      <w:color w:val="FF0000"/>
      <w:sz w:val="18"/>
      <w:szCs w:val="18"/>
    </w:rPr>
  </w:style>
  <w:style w:type="character" w:customStyle="1" w:styleId="12">
    <w:name w:val="red2"/>
    <w:basedOn w:val="5"/>
    <w:qFormat/>
    <w:uiPriority w:val="0"/>
    <w:rPr>
      <w:color w:val="FF0000"/>
    </w:rPr>
  </w:style>
  <w:style w:type="character" w:customStyle="1" w:styleId="13">
    <w:name w:val="right"/>
    <w:basedOn w:val="5"/>
    <w:qFormat/>
    <w:uiPriority w:val="0"/>
    <w:rPr>
      <w:color w:val="999999"/>
      <w:sz w:val="18"/>
      <w:szCs w:val="18"/>
    </w:rPr>
  </w:style>
  <w:style w:type="character" w:customStyle="1" w:styleId="14">
    <w:name w:val="green"/>
    <w:basedOn w:val="5"/>
    <w:qFormat/>
    <w:uiPriority w:val="0"/>
    <w:rPr>
      <w:color w:val="66AE00"/>
      <w:sz w:val="18"/>
      <w:szCs w:val="18"/>
    </w:rPr>
  </w:style>
  <w:style w:type="character" w:customStyle="1" w:styleId="15">
    <w:name w:val="green1"/>
    <w:basedOn w:val="5"/>
    <w:qFormat/>
    <w:uiPriority w:val="0"/>
    <w:rPr>
      <w:color w:val="66AE00"/>
      <w:sz w:val="18"/>
      <w:szCs w:val="18"/>
    </w:rPr>
  </w:style>
  <w:style w:type="character" w:customStyle="1" w:styleId="16">
    <w:name w:val="blue"/>
    <w:basedOn w:val="5"/>
    <w:qFormat/>
    <w:uiPriority w:val="0"/>
    <w:rPr>
      <w:color w:val="0371C6"/>
      <w:sz w:val="21"/>
      <w:szCs w:val="21"/>
    </w:rPr>
  </w:style>
  <w:style w:type="character" w:customStyle="1" w:styleId="17">
    <w:name w:val="hover25"/>
    <w:basedOn w:val="5"/>
    <w:qFormat/>
    <w:uiPriority w:val="0"/>
  </w:style>
  <w:style w:type="character" w:customStyle="1" w:styleId="18">
    <w:name w:val="gb-jt"/>
    <w:basedOn w:val="5"/>
    <w:qFormat/>
    <w:uiPriority w:val="0"/>
  </w:style>
  <w:style w:type="character" w:customStyle="1" w:styleId="19">
    <w:name w:val="页眉 Char"/>
    <w:basedOn w:val="5"/>
    <w:link w:val="3"/>
    <w:qFormat/>
    <w:uiPriority w:val="0"/>
    <w:rPr>
      <w:rFonts w:asciiTheme="minorHAnsi" w:hAnsiTheme="minorHAnsi" w:eastAsiaTheme="minorEastAsia" w:cstheme="minorBidi"/>
      <w:kern w:val="2"/>
      <w:sz w:val="18"/>
      <w:szCs w:val="18"/>
    </w:rPr>
  </w:style>
  <w:style w:type="character" w:customStyle="1" w:styleId="2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734</Words>
  <Characters>4185</Characters>
  <Lines>34</Lines>
  <Paragraphs>9</Paragraphs>
  <TotalTime>1</TotalTime>
  <ScaleCrop>false</ScaleCrop>
  <LinksUpToDate>false</LinksUpToDate>
  <CharactersWithSpaces>4910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2018-06-19T08:05:00Z</cp:lastPrinted>
  <dcterms:modified xsi:type="dcterms:W3CDTF">2018-06-22T02:04:29Z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